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12" w:rsidRDefault="007C4412" w:rsidP="007C4412"/>
    <w:tbl>
      <w:tblPr>
        <w:tblStyle w:val="TableGrid"/>
        <w:tblW w:w="0" w:type="auto"/>
        <w:tblInd w:w="-142" w:type="dxa"/>
        <w:shd w:val="clear" w:color="auto" w:fill="00877C"/>
        <w:tblLook w:val="04A0" w:firstRow="1" w:lastRow="0" w:firstColumn="1" w:lastColumn="0" w:noHBand="0" w:noVBand="1"/>
      </w:tblPr>
      <w:tblGrid>
        <w:gridCol w:w="5665"/>
        <w:gridCol w:w="4541"/>
      </w:tblGrid>
      <w:tr w:rsidR="007C4412" w:rsidTr="00593F21">
        <w:tc>
          <w:tcPr>
            <w:tcW w:w="5846" w:type="dxa"/>
            <w:tcBorders>
              <w:top w:val="nil"/>
              <w:left w:val="nil"/>
              <w:bottom w:val="nil"/>
              <w:right w:val="nil"/>
            </w:tcBorders>
            <w:shd w:val="clear" w:color="auto" w:fill="00877C"/>
          </w:tcPr>
          <w:p w:rsidR="007C4412" w:rsidRPr="005D5B62" w:rsidRDefault="007C4412" w:rsidP="00593F21">
            <w:pPr>
              <w:pStyle w:val="Header"/>
              <w:tabs>
                <w:tab w:val="clear" w:pos="4513"/>
                <w:tab w:val="clear" w:pos="9026"/>
              </w:tabs>
              <w:rPr>
                <w:sz w:val="32"/>
                <w:szCs w:val="32"/>
              </w:rPr>
            </w:pPr>
            <w:r w:rsidRPr="00623872">
              <w:rPr>
                <w:color w:val="FFFFFF" w:themeColor="background1"/>
                <w:sz w:val="32"/>
                <w:szCs w:val="32"/>
              </w:rPr>
              <w:t>Alcohol and Dru</w:t>
            </w:r>
            <w:r>
              <w:rPr>
                <w:color w:val="FFFFFF" w:themeColor="background1"/>
                <w:sz w:val="32"/>
                <w:szCs w:val="32"/>
              </w:rPr>
              <w:t xml:space="preserve">gs </w:t>
            </w:r>
            <w:r w:rsidRPr="005D5B62">
              <w:rPr>
                <w:color w:val="FFFFFF" w:themeColor="background1"/>
                <w:sz w:val="32"/>
                <w:szCs w:val="32"/>
              </w:rPr>
              <w:t>Policy</w:t>
            </w:r>
            <w:r>
              <w:rPr>
                <w:color w:val="FFFFFF" w:themeColor="background1"/>
                <w:sz w:val="32"/>
                <w:szCs w:val="32"/>
              </w:rPr>
              <w:t xml:space="preserve"> Statement</w:t>
            </w:r>
          </w:p>
        </w:tc>
        <w:tc>
          <w:tcPr>
            <w:tcW w:w="4736" w:type="dxa"/>
            <w:tcBorders>
              <w:top w:val="nil"/>
              <w:left w:val="nil"/>
              <w:bottom w:val="nil"/>
              <w:right w:val="nil"/>
            </w:tcBorders>
            <w:shd w:val="clear" w:color="auto" w:fill="00877C"/>
          </w:tcPr>
          <w:p w:rsidR="007C4412" w:rsidRPr="005D5B62" w:rsidRDefault="007C4412" w:rsidP="00593F21">
            <w:pPr>
              <w:pStyle w:val="Header"/>
              <w:tabs>
                <w:tab w:val="clear" w:pos="4513"/>
                <w:tab w:val="clear" w:pos="9026"/>
              </w:tabs>
              <w:rPr>
                <w:color w:val="FFFFFF" w:themeColor="background1"/>
                <w:sz w:val="32"/>
                <w:szCs w:val="32"/>
              </w:rPr>
            </w:pPr>
          </w:p>
        </w:tc>
      </w:tr>
    </w:tbl>
    <w:p w:rsidR="007C4412" w:rsidRDefault="007C4412" w:rsidP="007C4412"/>
    <w:p w:rsidR="007C4412" w:rsidRPr="007E4AA6" w:rsidRDefault="007C4412" w:rsidP="007C4412">
      <w:pPr>
        <w:rPr>
          <w:b/>
          <w:color w:val="00877C"/>
          <w:sz w:val="24"/>
          <w:szCs w:val="24"/>
        </w:rPr>
      </w:pPr>
      <w:r w:rsidRPr="007E4AA6">
        <w:rPr>
          <w:b/>
          <w:color w:val="00877C"/>
          <w:sz w:val="24"/>
          <w:szCs w:val="24"/>
        </w:rPr>
        <w:t>1.</w:t>
      </w:r>
      <w:r>
        <w:t xml:space="preserve"> </w:t>
      </w:r>
      <w:r w:rsidRPr="007E4AA6">
        <w:rPr>
          <w:b/>
          <w:color w:val="00877C"/>
          <w:sz w:val="24"/>
          <w:szCs w:val="24"/>
        </w:rPr>
        <w:t>Introduction</w:t>
      </w:r>
    </w:p>
    <w:p w:rsidR="007C4412" w:rsidRDefault="007C4412" w:rsidP="007C4412">
      <w:pPr>
        <w:pStyle w:val="ListParagraph"/>
        <w:rPr>
          <w:b/>
          <w:color w:val="00877C"/>
          <w:sz w:val="24"/>
          <w:szCs w:val="24"/>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08"/>
      </w:tblGrid>
      <w:tr w:rsidR="007C4412" w:rsidTr="00593F21">
        <w:tc>
          <w:tcPr>
            <w:tcW w:w="567" w:type="dxa"/>
          </w:tcPr>
          <w:p w:rsidR="007C4412" w:rsidRPr="00477769" w:rsidRDefault="007C4412" w:rsidP="00593F21">
            <w:pPr>
              <w:pStyle w:val="ListParagraph"/>
              <w:ind w:left="0"/>
            </w:pPr>
            <w:r w:rsidRPr="00477769">
              <w:t>1.1</w:t>
            </w:r>
          </w:p>
        </w:tc>
        <w:tc>
          <w:tcPr>
            <w:tcW w:w="9208" w:type="dxa"/>
          </w:tcPr>
          <w:p w:rsidR="007C4412" w:rsidRPr="006E37C9" w:rsidRDefault="007C4412" w:rsidP="00593F21">
            <w:r w:rsidRPr="006E37C9">
              <w:t>This Statement sets out the policy of John Weaver (Contractors) Ltd. (the Company), in respect of any employee, self-employed person or contractor under our control, including employees or sub-contractors we employ, or their sub-contractors or any person on our sites, whose proper performance of their duties is, or may be, impaired or otherwise affected as a result of the consumption of alcohol and/or illegal substances.</w:t>
            </w:r>
          </w:p>
        </w:tc>
      </w:tr>
      <w:tr w:rsidR="007C4412" w:rsidTr="00593F21">
        <w:tc>
          <w:tcPr>
            <w:tcW w:w="567" w:type="dxa"/>
          </w:tcPr>
          <w:p w:rsidR="007C4412" w:rsidRPr="00477769" w:rsidRDefault="007C4412" w:rsidP="00593F21">
            <w:pPr>
              <w:pStyle w:val="ListParagraph"/>
              <w:ind w:left="0"/>
            </w:pPr>
          </w:p>
        </w:tc>
        <w:tc>
          <w:tcPr>
            <w:tcW w:w="9208" w:type="dxa"/>
          </w:tcPr>
          <w:p w:rsidR="007C4412" w:rsidRPr="006E37C9" w:rsidRDefault="007C4412" w:rsidP="00593F21"/>
        </w:tc>
      </w:tr>
      <w:tr w:rsidR="007C4412" w:rsidTr="00593F21">
        <w:tc>
          <w:tcPr>
            <w:tcW w:w="567" w:type="dxa"/>
          </w:tcPr>
          <w:p w:rsidR="007C4412" w:rsidRPr="00477769" w:rsidRDefault="007C4412" w:rsidP="00593F21">
            <w:pPr>
              <w:pStyle w:val="ListParagraph"/>
              <w:ind w:left="0"/>
            </w:pPr>
            <w:r w:rsidRPr="00477769">
              <w:t>1.2</w:t>
            </w:r>
          </w:p>
        </w:tc>
        <w:tc>
          <w:tcPr>
            <w:tcW w:w="9208" w:type="dxa"/>
          </w:tcPr>
          <w:p w:rsidR="007C4412" w:rsidRPr="006E37C9" w:rsidRDefault="007C4412" w:rsidP="00593F21">
            <w:r w:rsidRPr="006E37C9">
              <w:t xml:space="preserve">Provided that persons referred to in 1.1 above adhere to the provisions contained within this Policy, they will normally be considered to have demonstrated compliance with their Conditions of Employment, or contract, insofar as they refer to the use of alcohol and drugs </w:t>
            </w:r>
          </w:p>
        </w:tc>
      </w:tr>
      <w:tr w:rsidR="007C4412" w:rsidTr="00593F21">
        <w:tc>
          <w:tcPr>
            <w:tcW w:w="567" w:type="dxa"/>
          </w:tcPr>
          <w:p w:rsidR="007C4412" w:rsidRPr="00477769" w:rsidRDefault="007C4412" w:rsidP="00593F21">
            <w:pPr>
              <w:pStyle w:val="ListParagraph"/>
              <w:ind w:left="0"/>
            </w:pPr>
          </w:p>
        </w:tc>
        <w:tc>
          <w:tcPr>
            <w:tcW w:w="9208" w:type="dxa"/>
          </w:tcPr>
          <w:p w:rsidR="007C4412" w:rsidRPr="006E37C9" w:rsidRDefault="007C4412" w:rsidP="00593F21"/>
        </w:tc>
      </w:tr>
      <w:tr w:rsidR="007C4412" w:rsidTr="00593F21">
        <w:tc>
          <w:tcPr>
            <w:tcW w:w="567" w:type="dxa"/>
          </w:tcPr>
          <w:p w:rsidR="007C4412" w:rsidRPr="00477769" w:rsidRDefault="007C4412" w:rsidP="00593F21">
            <w:pPr>
              <w:pStyle w:val="ListParagraph"/>
              <w:ind w:left="0"/>
            </w:pPr>
            <w:r w:rsidRPr="00477769">
              <w:t>1.3</w:t>
            </w:r>
          </w:p>
        </w:tc>
        <w:tc>
          <w:tcPr>
            <w:tcW w:w="9208" w:type="dxa"/>
          </w:tcPr>
          <w:p w:rsidR="007C4412" w:rsidRDefault="007C4412" w:rsidP="00593F21">
            <w:r w:rsidRPr="006E37C9">
              <w:t>All persons referred to in 1.1 above are to be made aware of the contents of this Policy and become familiar with the conditions laid down.</w:t>
            </w:r>
          </w:p>
        </w:tc>
      </w:tr>
    </w:tbl>
    <w:p w:rsidR="007C4412" w:rsidRDefault="007C4412" w:rsidP="007C4412"/>
    <w:p w:rsidR="007C4412" w:rsidRPr="00623872" w:rsidRDefault="007C4412" w:rsidP="007C4412">
      <w:pPr>
        <w:rPr>
          <w:b/>
          <w:color w:val="00877C"/>
          <w:sz w:val="24"/>
          <w:szCs w:val="24"/>
        </w:rPr>
      </w:pPr>
      <w:r w:rsidRPr="00623872">
        <w:rPr>
          <w:b/>
          <w:color w:val="00877C"/>
          <w:sz w:val="24"/>
          <w:szCs w:val="24"/>
        </w:rPr>
        <w:t>2. Policy</w:t>
      </w:r>
    </w:p>
    <w:p w:rsidR="007C4412" w:rsidRDefault="007C4412" w:rsidP="007C4412"/>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8641"/>
      </w:tblGrid>
      <w:tr w:rsidR="007C4412" w:rsidTr="00593F21">
        <w:tc>
          <w:tcPr>
            <w:tcW w:w="567" w:type="dxa"/>
          </w:tcPr>
          <w:p w:rsidR="007C4412" w:rsidRPr="00477769" w:rsidRDefault="007C4412" w:rsidP="00593F21">
            <w:pPr>
              <w:pStyle w:val="ListParagraph"/>
              <w:ind w:left="0"/>
            </w:pPr>
            <w:r>
              <w:t>2</w:t>
            </w:r>
            <w:r w:rsidRPr="00477769">
              <w:t>.1</w:t>
            </w:r>
          </w:p>
        </w:tc>
        <w:tc>
          <w:tcPr>
            <w:tcW w:w="9208" w:type="dxa"/>
            <w:gridSpan w:val="2"/>
          </w:tcPr>
          <w:p w:rsidR="007C4412" w:rsidRPr="00DE0681" w:rsidRDefault="007C4412" w:rsidP="00593F21">
            <w:r w:rsidRPr="00DE0681">
              <w:t>The Company will take all reasonable measures to ensure that those persons referred to in 1.1 above are made aware of the contents of this Policy and the possible consequences of any breach of this Policy.</w:t>
            </w:r>
          </w:p>
        </w:tc>
      </w:tr>
      <w:tr w:rsidR="007C4412" w:rsidTr="00593F21">
        <w:tc>
          <w:tcPr>
            <w:tcW w:w="567" w:type="dxa"/>
          </w:tcPr>
          <w:p w:rsidR="007C4412" w:rsidRPr="00477769" w:rsidRDefault="007C4412" w:rsidP="00593F21">
            <w:pPr>
              <w:pStyle w:val="ListParagraph"/>
              <w:ind w:left="0"/>
            </w:pPr>
          </w:p>
        </w:tc>
        <w:tc>
          <w:tcPr>
            <w:tcW w:w="9208" w:type="dxa"/>
            <w:gridSpan w:val="2"/>
          </w:tcPr>
          <w:p w:rsidR="007C4412" w:rsidRPr="00DE0681" w:rsidRDefault="007C4412" w:rsidP="00593F21"/>
        </w:tc>
      </w:tr>
      <w:tr w:rsidR="007C4412" w:rsidTr="00593F21">
        <w:tc>
          <w:tcPr>
            <w:tcW w:w="567" w:type="dxa"/>
          </w:tcPr>
          <w:p w:rsidR="007C4412" w:rsidRPr="00477769" w:rsidRDefault="007C4412" w:rsidP="00593F21">
            <w:pPr>
              <w:pStyle w:val="ListParagraph"/>
              <w:ind w:left="0"/>
            </w:pPr>
            <w:r>
              <w:t>2</w:t>
            </w:r>
            <w:r w:rsidRPr="00477769">
              <w:t>.2</w:t>
            </w:r>
          </w:p>
        </w:tc>
        <w:tc>
          <w:tcPr>
            <w:tcW w:w="9208" w:type="dxa"/>
            <w:gridSpan w:val="2"/>
          </w:tcPr>
          <w:p w:rsidR="007C4412" w:rsidRPr="00DE0681" w:rsidRDefault="007C4412" w:rsidP="00593F21">
            <w:r w:rsidRPr="00DE0681">
              <w:t>The Company will take all reasonable measures to prevent, so far as is reasonably practicable, any breach of duty placed on any person by this Policy.</w:t>
            </w:r>
          </w:p>
        </w:tc>
      </w:tr>
      <w:tr w:rsidR="007C4412" w:rsidTr="00593F21">
        <w:tc>
          <w:tcPr>
            <w:tcW w:w="567" w:type="dxa"/>
          </w:tcPr>
          <w:p w:rsidR="007C4412" w:rsidRPr="00477769" w:rsidRDefault="007C4412" w:rsidP="00593F21">
            <w:pPr>
              <w:pStyle w:val="ListParagraph"/>
              <w:ind w:left="0"/>
            </w:pPr>
          </w:p>
        </w:tc>
        <w:tc>
          <w:tcPr>
            <w:tcW w:w="9208" w:type="dxa"/>
            <w:gridSpan w:val="2"/>
          </w:tcPr>
          <w:p w:rsidR="007C4412" w:rsidRPr="00DE0681" w:rsidRDefault="007C4412" w:rsidP="00593F21"/>
        </w:tc>
      </w:tr>
      <w:tr w:rsidR="007C4412" w:rsidTr="00593F21">
        <w:tc>
          <w:tcPr>
            <w:tcW w:w="567" w:type="dxa"/>
          </w:tcPr>
          <w:p w:rsidR="007C4412" w:rsidRPr="00477769" w:rsidRDefault="007C4412" w:rsidP="00593F21">
            <w:pPr>
              <w:pStyle w:val="ListParagraph"/>
              <w:ind w:left="0"/>
            </w:pPr>
            <w:r>
              <w:t>2</w:t>
            </w:r>
            <w:r w:rsidRPr="00477769">
              <w:t>.3</w:t>
            </w:r>
          </w:p>
        </w:tc>
        <w:tc>
          <w:tcPr>
            <w:tcW w:w="9208" w:type="dxa"/>
            <w:gridSpan w:val="2"/>
          </w:tcPr>
          <w:p w:rsidR="007C4412" w:rsidRDefault="007C4412" w:rsidP="00593F21">
            <w:r w:rsidRPr="00DE0681">
              <w:t>Should an employee suffer any problems or difficulties in respect of the misuse of drugs and/or alcohol and they voluntarily inform the Company, then the Company will endeavour to ensure that advice on where to seek help is made available. In the first instance individuals will be encouraged to seek help from their G P. It may occasionally be necessary to request that the employee refrains from work temporarily, or undertakes restricted duties to ensure their own safety and that of others. The Company may also allow additional time off (normally unpaid) for employees to obtain treatment or attend support groups.</w:t>
            </w:r>
          </w:p>
        </w:tc>
      </w:tr>
      <w:tr w:rsidR="007C4412" w:rsidTr="00593F21">
        <w:tc>
          <w:tcPr>
            <w:tcW w:w="567" w:type="dxa"/>
          </w:tcPr>
          <w:p w:rsidR="007C4412" w:rsidRPr="00477769" w:rsidRDefault="007C4412" w:rsidP="00593F21">
            <w:pPr>
              <w:pStyle w:val="ListParagraph"/>
              <w:ind w:left="0"/>
            </w:pPr>
          </w:p>
        </w:tc>
        <w:tc>
          <w:tcPr>
            <w:tcW w:w="9208" w:type="dxa"/>
            <w:gridSpan w:val="2"/>
          </w:tcPr>
          <w:p w:rsidR="007C4412" w:rsidRPr="00DE0681" w:rsidRDefault="007C4412" w:rsidP="00593F21"/>
        </w:tc>
      </w:tr>
      <w:tr w:rsidR="007C4412" w:rsidTr="00593F21">
        <w:tc>
          <w:tcPr>
            <w:tcW w:w="567" w:type="dxa"/>
          </w:tcPr>
          <w:p w:rsidR="007C4412" w:rsidRPr="00477769" w:rsidRDefault="007C4412" w:rsidP="00593F21">
            <w:pPr>
              <w:pStyle w:val="ListParagraph"/>
              <w:ind w:left="0"/>
            </w:pPr>
          </w:p>
        </w:tc>
        <w:tc>
          <w:tcPr>
            <w:tcW w:w="9208" w:type="dxa"/>
            <w:gridSpan w:val="2"/>
          </w:tcPr>
          <w:p w:rsidR="007C4412" w:rsidRPr="00DE0681" w:rsidRDefault="007C4412" w:rsidP="00593F21">
            <w:r>
              <w:t>Any employee who seeks the assistance of the Company in finding treatment for a drugs and/or alcohol problem has the Company's complete assurance of confidentiality.</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r>
              <w:t>2.4</w:t>
            </w:r>
          </w:p>
        </w:tc>
        <w:tc>
          <w:tcPr>
            <w:tcW w:w="9208" w:type="dxa"/>
            <w:gridSpan w:val="2"/>
          </w:tcPr>
          <w:p w:rsidR="007C4412" w:rsidRDefault="007C4412" w:rsidP="00593F21">
            <w:r>
              <w:t>All persons referred to in 1.1 above may, at the discretion of John Weaver Contractors, be randomly selected at any time to undergo a drugs and alcohol test in working hours.</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I.</w:t>
            </w:r>
          </w:p>
        </w:tc>
        <w:tc>
          <w:tcPr>
            <w:tcW w:w="8641" w:type="dxa"/>
          </w:tcPr>
          <w:p w:rsidR="007C4412" w:rsidRDefault="007C4412" w:rsidP="00593F21">
            <w:r>
              <w:t>Any person who refuses will be removed from the workplace and suspended from duties and, in the event of JWC employees, it could (if decided by Company Directors) lead to disciplinary action and/or dismissal.</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II.</w:t>
            </w:r>
          </w:p>
        </w:tc>
        <w:tc>
          <w:tcPr>
            <w:tcW w:w="8641" w:type="dxa"/>
          </w:tcPr>
          <w:p w:rsidR="007C4412" w:rsidRDefault="007C4412" w:rsidP="00593F21">
            <w:r>
              <w:t>If tests prove that drugs or alcohol are present in your sample and you had not voluntarily informed the Company of an existing problem (as in 2.3 above), this will be seen as gross misconduct which could, if decided by Company Directors, lead to disciplinary action and/or dismissal.</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r>
              <w:t>2.5</w:t>
            </w:r>
          </w:p>
        </w:tc>
        <w:tc>
          <w:tcPr>
            <w:tcW w:w="9208" w:type="dxa"/>
            <w:gridSpan w:val="2"/>
          </w:tcPr>
          <w:p w:rsidR="007C4412" w:rsidRDefault="007C4412" w:rsidP="00593F21">
            <w:r>
              <w:t>Employees of the Company will, at all times, exercise diligence in monitoring their colleagues and others who, from time to time, may be under the control of the Company and noting any evidence of alcohol and/or drug abuse.</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bl>
    <w:p w:rsidR="007C4412" w:rsidRDefault="007C4412" w:rsidP="007C4412"/>
    <w:p w:rsidR="007C4412" w:rsidRDefault="007C4412" w:rsidP="007C4412"/>
    <w:p w:rsidR="007C4412" w:rsidRDefault="007C4412" w:rsidP="007C4412"/>
    <w:p w:rsidR="007C4412" w:rsidRDefault="007C4412" w:rsidP="007C4412">
      <w:pPr>
        <w:rPr>
          <w:b/>
          <w:color w:val="00877C"/>
          <w:sz w:val="24"/>
          <w:szCs w:val="24"/>
        </w:rPr>
      </w:pPr>
      <w:r w:rsidRPr="00B22940">
        <w:rPr>
          <w:b/>
          <w:color w:val="00877C"/>
          <w:sz w:val="24"/>
          <w:szCs w:val="24"/>
        </w:rPr>
        <w:t>3. Conditions</w:t>
      </w:r>
    </w:p>
    <w:p w:rsidR="007C4412" w:rsidRDefault="007C4412" w:rsidP="007C4412">
      <w:pPr>
        <w:rPr>
          <w:b/>
          <w:color w:val="00877C"/>
          <w:sz w:val="24"/>
          <w:szCs w:val="24"/>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8641"/>
      </w:tblGrid>
      <w:tr w:rsidR="007C4412" w:rsidTr="00593F21">
        <w:tc>
          <w:tcPr>
            <w:tcW w:w="567" w:type="dxa"/>
          </w:tcPr>
          <w:p w:rsidR="007C4412" w:rsidRDefault="007C4412" w:rsidP="00593F21">
            <w:pPr>
              <w:pStyle w:val="ListParagraph"/>
              <w:ind w:left="0"/>
            </w:pPr>
            <w:r>
              <w:t>3.1</w:t>
            </w:r>
          </w:p>
        </w:tc>
        <w:tc>
          <w:tcPr>
            <w:tcW w:w="9208" w:type="dxa"/>
            <w:gridSpan w:val="2"/>
          </w:tcPr>
          <w:p w:rsidR="007C4412" w:rsidRDefault="007C4412" w:rsidP="00593F21">
            <w:r w:rsidRPr="00B22940">
              <w:t>It is a condition of employment by the Company that no person referred to in 1.1 above shall:-</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I.</w:t>
            </w:r>
          </w:p>
        </w:tc>
        <w:tc>
          <w:tcPr>
            <w:tcW w:w="8641" w:type="dxa"/>
          </w:tcPr>
          <w:p w:rsidR="007C4412" w:rsidRDefault="007C4412" w:rsidP="00593F21">
            <w:r>
              <w:t>Report, or endeavour to report, for duty whilst under the influence of alcohol or drugs</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II.</w:t>
            </w:r>
          </w:p>
        </w:tc>
        <w:tc>
          <w:tcPr>
            <w:tcW w:w="8641" w:type="dxa"/>
          </w:tcPr>
          <w:p w:rsidR="007C4412" w:rsidRPr="00D07B55" w:rsidRDefault="007C4412" w:rsidP="00593F21">
            <w:r w:rsidRPr="00D07B55">
              <w:t>Report for duty, or endeavour to report for duty, whilst in an unfit state due to the</w:t>
            </w:r>
            <w:r>
              <w:t xml:space="preserve"> previous consumption of alcohol or drugs</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III.</w:t>
            </w:r>
          </w:p>
        </w:tc>
        <w:tc>
          <w:tcPr>
            <w:tcW w:w="8641" w:type="dxa"/>
          </w:tcPr>
          <w:p w:rsidR="007C4412" w:rsidRPr="00D07B55" w:rsidRDefault="007C4412" w:rsidP="00593F21">
            <w:r w:rsidRPr="00D07B55">
              <w:t>Be in possession of alcohol or non-prescribed drugs during working hours;</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IV.</w:t>
            </w:r>
          </w:p>
        </w:tc>
        <w:tc>
          <w:tcPr>
            <w:tcW w:w="8641" w:type="dxa"/>
          </w:tcPr>
          <w:p w:rsidR="007C4412" w:rsidRPr="00D07B55" w:rsidRDefault="007C4412" w:rsidP="00593F21">
            <w:r w:rsidRPr="00D07B55">
              <w:t xml:space="preserve">Consume </w:t>
            </w:r>
            <w:r w:rsidRPr="00B22940">
              <w:t>alcohol or non-prescribed drugs during working hours.</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V.</w:t>
            </w:r>
          </w:p>
        </w:tc>
        <w:tc>
          <w:tcPr>
            <w:tcW w:w="8641" w:type="dxa"/>
          </w:tcPr>
          <w:p w:rsidR="007C4412" w:rsidRPr="00D07B55" w:rsidRDefault="007C4412" w:rsidP="00593F21">
            <w:r w:rsidRPr="00D07B55">
              <w:t>Consume prescribed drugs during working hours without informing his/her manager</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VI.</w:t>
            </w:r>
          </w:p>
        </w:tc>
        <w:tc>
          <w:tcPr>
            <w:tcW w:w="8641" w:type="dxa"/>
          </w:tcPr>
          <w:p w:rsidR="007C4412" w:rsidRPr="00D07B55" w:rsidRDefault="007C4412" w:rsidP="00593F21">
            <w:r w:rsidRPr="00D50907">
              <w:t>Have alcohol or drugs in their system during working hours.</w:t>
            </w:r>
          </w:p>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tc>
        <w:tc>
          <w:tcPr>
            <w:tcW w:w="8641" w:type="dxa"/>
          </w:tcPr>
          <w:p w:rsidR="007C4412" w:rsidRDefault="007C4412" w:rsidP="00593F21"/>
        </w:tc>
      </w:tr>
      <w:tr w:rsidR="007C4412" w:rsidTr="00593F21">
        <w:tc>
          <w:tcPr>
            <w:tcW w:w="567" w:type="dxa"/>
          </w:tcPr>
          <w:p w:rsidR="007C4412" w:rsidRDefault="007C4412" w:rsidP="00593F21">
            <w:pPr>
              <w:pStyle w:val="ListParagraph"/>
              <w:ind w:left="0"/>
            </w:pPr>
            <w:r>
              <w:t>3.2</w:t>
            </w:r>
          </w:p>
        </w:tc>
        <w:tc>
          <w:tcPr>
            <w:tcW w:w="9208" w:type="dxa"/>
            <w:gridSpan w:val="2"/>
          </w:tcPr>
          <w:p w:rsidR="007C4412" w:rsidRDefault="007C4412" w:rsidP="00593F21">
            <w:r w:rsidRPr="00D50907">
              <w:t>The company will not accept any deviation from the above conditions</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r>
              <w:t>3.3</w:t>
            </w:r>
          </w:p>
        </w:tc>
        <w:tc>
          <w:tcPr>
            <w:tcW w:w="9208" w:type="dxa"/>
            <w:gridSpan w:val="2"/>
          </w:tcPr>
          <w:p w:rsidR="007C4412" w:rsidRDefault="007C4412" w:rsidP="00593F21">
            <w:r>
              <w:t>Failure to maintain the standards set out by this Policy may be considered as gross misconduct; appropriate action will therefore be taken in all cases.</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bl>
    <w:p w:rsidR="007C4412" w:rsidRPr="00B22940" w:rsidRDefault="007C4412" w:rsidP="007C4412">
      <w:pPr>
        <w:rPr>
          <w:b/>
          <w:color w:val="00877C"/>
          <w:sz w:val="24"/>
          <w:szCs w:val="24"/>
        </w:rPr>
      </w:pPr>
    </w:p>
    <w:p w:rsidR="007C4412" w:rsidRDefault="007C4412" w:rsidP="007C4412">
      <w:pPr>
        <w:rPr>
          <w:b/>
          <w:color w:val="00877C"/>
          <w:sz w:val="24"/>
          <w:szCs w:val="24"/>
        </w:rPr>
      </w:pPr>
      <w:r>
        <w:rPr>
          <w:b/>
          <w:color w:val="00877C"/>
          <w:sz w:val="24"/>
          <w:szCs w:val="24"/>
        </w:rPr>
        <w:t>4</w:t>
      </w:r>
      <w:r w:rsidRPr="00B22940">
        <w:rPr>
          <w:b/>
          <w:color w:val="00877C"/>
          <w:sz w:val="24"/>
          <w:szCs w:val="24"/>
        </w:rPr>
        <w:t xml:space="preserve">. </w:t>
      </w:r>
      <w:r>
        <w:rPr>
          <w:b/>
          <w:color w:val="00877C"/>
          <w:sz w:val="24"/>
          <w:szCs w:val="24"/>
        </w:rPr>
        <w:t>Compliance</w:t>
      </w:r>
    </w:p>
    <w:p w:rsidR="007C4412" w:rsidRDefault="007C4412" w:rsidP="007C4412">
      <w:pPr>
        <w:rPr>
          <w:b/>
          <w:color w:val="00877C"/>
          <w:sz w:val="24"/>
          <w:szCs w:val="24"/>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8641"/>
      </w:tblGrid>
      <w:tr w:rsidR="007C4412" w:rsidTr="00593F21">
        <w:tc>
          <w:tcPr>
            <w:tcW w:w="567" w:type="dxa"/>
          </w:tcPr>
          <w:p w:rsidR="007C4412" w:rsidRDefault="007C4412" w:rsidP="00593F21">
            <w:pPr>
              <w:pStyle w:val="ListParagraph"/>
              <w:ind w:left="0"/>
            </w:pPr>
            <w:r>
              <w:t>4.1</w:t>
            </w:r>
          </w:p>
        </w:tc>
        <w:tc>
          <w:tcPr>
            <w:tcW w:w="9208" w:type="dxa"/>
            <w:gridSpan w:val="2"/>
          </w:tcPr>
          <w:p w:rsidR="007C4412" w:rsidRDefault="007C4412" w:rsidP="00593F21">
            <w:r>
              <w:t>In order to comply with this Policy and to maintain the stated and accepted standards of the</w:t>
            </w:r>
          </w:p>
          <w:p w:rsidR="007C4412" w:rsidRDefault="007C4412" w:rsidP="00593F21">
            <w:r>
              <w:t>Company, those persons referred to in 1.1 above should, at all times avoid:-</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I.</w:t>
            </w:r>
          </w:p>
        </w:tc>
        <w:tc>
          <w:tcPr>
            <w:tcW w:w="8641" w:type="dxa"/>
          </w:tcPr>
          <w:p w:rsidR="007C4412" w:rsidRDefault="007C4412" w:rsidP="00593F21">
            <w:r>
              <w:t>Consuming alcohol or non-prescribed drugs in the eight hours immediately preceding</w:t>
            </w:r>
          </w:p>
          <w:p w:rsidR="007C4412" w:rsidRDefault="007C4412" w:rsidP="00593F21">
            <w:r>
              <w:t>attendance at work;</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II.</w:t>
            </w:r>
          </w:p>
        </w:tc>
        <w:tc>
          <w:tcPr>
            <w:tcW w:w="8641" w:type="dxa"/>
          </w:tcPr>
          <w:p w:rsidR="007C4412" w:rsidRPr="00D07B55" w:rsidRDefault="007C4412" w:rsidP="00593F21">
            <w:r w:rsidRPr="00D50907">
              <w:t>Consuming alcohol or non-prescribed drugs during meal or other break times;</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III.</w:t>
            </w:r>
          </w:p>
        </w:tc>
        <w:tc>
          <w:tcPr>
            <w:tcW w:w="8641" w:type="dxa"/>
          </w:tcPr>
          <w:p w:rsidR="007C4412" w:rsidRPr="00D07B55" w:rsidRDefault="007C4412" w:rsidP="00593F21">
            <w:r w:rsidRPr="00D50907">
              <w:t>Consuming alcohol or non-prescribed drugs during working hours</w:t>
            </w:r>
            <w:r>
              <w:t>;</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IV.</w:t>
            </w:r>
          </w:p>
        </w:tc>
        <w:tc>
          <w:tcPr>
            <w:tcW w:w="8641" w:type="dxa"/>
          </w:tcPr>
          <w:p w:rsidR="007C4412" w:rsidRPr="00D07B55" w:rsidRDefault="007C4412" w:rsidP="00593F21">
            <w:r w:rsidRPr="00D07B55">
              <w:t xml:space="preserve">Consume </w:t>
            </w:r>
            <w:r w:rsidRPr="00B22940">
              <w:t>alcohol or non-prescribed drugs during working hours.</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V.</w:t>
            </w:r>
          </w:p>
        </w:tc>
        <w:tc>
          <w:tcPr>
            <w:tcW w:w="8641" w:type="dxa"/>
          </w:tcPr>
          <w:p w:rsidR="007C4412" w:rsidRPr="00D07B55" w:rsidRDefault="007C4412" w:rsidP="00593F21">
            <w:r w:rsidRPr="00D50907">
              <w:t>Consuming alcohol or non-prescribed drugs</w:t>
            </w:r>
            <w:r>
              <w:t xml:space="preserve"> whilst not in work but on call;</w:t>
            </w:r>
          </w:p>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r>
              <w:t>VI.</w:t>
            </w:r>
          </w:p>
        </w:tc>
        <w:tc>
          <w:tcPr>
            <w:tcW w:w="8641" w:type="dxa"/>
          </w:tcPr>
          <w:p w:rsidR="007C4412" w:rsidRPr="00D07B55" w:rsidRDefault="007C4412" w:rsidP="00593F21">
            <w:r>
              <w:t>Consuming alcohol or non-prescribed drugs whilst not in work that could leave identifiable traces when drug or alcohol tested in work, even if tests identify traces after several weeks since non-prescribed drugs were taken.</w:t>
            </w:r>
          </w:p>
        </w:tc>
      </w:tr>
      <w:tr w:rsidR="007C4412" w:rsidTr="00593F21">
        <w:tc>
          <w:tcPr>
            <w:tcW w:w="567" w:type="dxa"/>
          </w:tcPr>
          <w:p w:rsidR="007C4412" w:rsidRDefault="007C4412" w:rsidP="00593F21">
            <w:pPr>
              <w:pStyle w:val="ListParagraph"/>
              <w:ind w:left="0"/>
            </w:pPr>
          </w:p>
        </w:tc>
        <w:tc>
          <w:tcPr>
            <w:tcW w:w="567" w:type="dxa"/>
          </w:tcPr>
          <w:p w:rsidR="007C4412" w:rsidRDefault="007C4412" w:rsidP="00593F21"/>
        </w:tc>
        <w:tc>
          <w:tcPr>
            <w:tcW w:w="8641" w:type="dxa"/>
          </w:tcPr>
          <w:p w:rsidR="007C4412" w:rsidRDefault="007C4412" w:rsidP="00593F21"/>
        </w:tc>
      </w:tr>
      <w:tr w:rsidR="007C4412" w:rsidTr="00593F21">
        <w:tc>
          <w:tcPr>
            <w:tcW w:w="567" w:type="dxa"/>
          </w:tcPr>
          <w:p w:rsidR="007C4412" w:rsidRDefault="007C4412" w:rsidP="00593F21">
            <w:pPr>
              <w:pStyle w:val="ListParagraph"/>
              <w:ind w:left="0"/>
            </w:pPr>
          </w:p>
        </w:tc>
        <w:tc>
          <w:tcPr>
            <w:tcW w:w="9208" w:type="dxa"/>
            <w:gridSpan w:val="2"/>
          </w:tcPr>
          <w:p w:rsidR="007C4412" w:rsidRDefault="007C4412" w:rsidP="00593F21">
            <w:r>
              <w:t>In addition, those persons to which this Policy applies (see 1.1) must ensure that a manager is made aware of any prescribed medication being taken which may, in any way, affect their performance at work and the nature of any such medication which it is necessary for them to carry with them during working hours.</w:t>
            </w:r>
          </w:p>
        </w:tc>
      </w:tr>
    </w:tbl>
    <w:p w:rsidR="007C4412" w:rsidRDefault="007C4412" w:rsidP="007C4412">
      <w:pPr>
        <w:widowControl/>
        <w:autoSpaceDE w:val="0"/>
        <w:autoSpaceDN w:val="0"/>
        <w:adjustRightInd w:val="0"/>
        <w:spacing w:line="288" w:lineRule="auto"/>
        <w:rPr>
          <w:rFonts w:cs="Arial"/>
          <w:color w:val="232323"/>
        </w:rPr>
      </w:pPr>
    </w:p>
    <w:p w:rsidR="007C4412" w:rsidRDefault="007C4412" w:rsidP="007C4412">
      <w:pPr>
        <w:widowControl/>
        <w:autoSpaceDE w:val="0"/>
        <w:autoSpaceDN w:val="0"/>
        <w:adjustRightInd w:val="0"/>
        <w:spacing w:line="288" w:lineRule="auto"/>
        <w:rPr>
          <w:rFonts w:cs="Arial"/>
          <w:color w:val="232323"/>
        </w:rPr>
      </w:pPr>
    </w:p>
    <w:p w:rsidR="007C4412" w:rsidRDefault="007C4412" w:rsidP="007C4412">
      <w:pPr>
        <w:pStyle w:val="BodyText2"/>
      </w:pPr>
    </w:p>
    <w:p w:rsidR="007C4412" w:rsidRDefault="007C4412" w:rsidP="007C4412">
      <w:pPr>
        <w:rPr>
          <w:b/>
          <w:color w:val="00877C"/>
          <w:sz w:val="24"/>
          <w:szCs w:val="24"/>
        </w:rPr>
      </w:pPr>
    </w:p>
    <w:p w:rsidR="007C4412" w:rsidRDefault="007C4412" w:rsidP="007C4412">
      <w:pPr>
        <w:rPr>
          <w:b/>
          <w:color w:val="00877C"/>
          <w:sz w:val="24"/>
          <w:szCs w:val="24"/>
        </w:rPr>
      </w:pPr>
    </w:p>
    <w:p w:rsidR="007C4412" w:rsidRDefault="007C4412" w:rsidP="007C4412">
      <w:pPr>
        <w:rPr>
          <w:b/>
          <w:color w:val="00877C"/>
          <w:sz w:val="24"/>
          <w:szCs w:val="24"/>
        </w:rPr>
      </w:pPr>
    </w:p>
    <w:p w:rsidR="007C4412" w:rsidRDefault="007C4412" w:rsidP="007C4412">
      <w:pPr>
        <w:rPr>
          <w:b/>
          <w:color w:val="00877C"/>
          <w:sz w:val="24"/>
          <w:szCs w:val="24"/>
        </w:rPr>
      </w:pPr>
      <w:r>
        <w:rPr>
          <w:b/>
          <w:color w:val="00877C"/>
          <w:sz w:val="24"/>
          <w:szCs w:val="24"/>
        </w:rPr>
        <w:t>5</w:t>
      </w:r>
      <w:r w:rsidRPr="00B22940">
        <w:rPr>
          <w:b/>
          <w:color w:val="00877C"/>
          <w:sz w:val="24"/>
          <w:szCs w:val="24"/>
        </w:rPr>
        <w:t xml:space="preserve">. </w:t>
      </w:r>
      <w:r>
        <w:rPr>
          <w:b/>
          <w:color w:val="00877C"/>
          <w:sz w:val="24"/>
          <w:szCs w:val="24"/>
        </w:rPr>
        <w:t>R</w:t>
      </w:r>
      <w:r w:rsidRPr="00D50907">
        <w:rPr>
          <w:b/>
          <w:color w:val="00877C"/>
          <w:sz w:val="24"/>
          <w:szCs w:val="24"/>
        </w:rPr>
        <w:t xml:space="preserve">esponsibility for </w:t>
      </w:r>
      <w:r>
        <w:rPr>
          <w:b/>
          <w:color w:val="00877C"/>
          <w:sz w:val="24"/>
          <w:szCs w:val="24"/>
        </w:rPr>
        <w:t>Policy</w:t>
      </w:r>
      <w:r w:rsidRPr="00D50907">
        <w:rPr>
          <w:b/>
          <w:color w:val="00877C"/>
          <w:sz w:val="24"/>
          <w:szCs w:val="24"/>
        </w:rPr>
        <w:t xml:space="preserve"> implementation</w:t>
      </w:r>
    </w:p>
    <w:p w:rsidR="007C4412" w:rsidRDefault="007C4412" w:rsidP="007C4412">
      <w:pPr>
        <w:rPr>
          <w:b/>
          <w:color w:val="00877C"/>
          <w:sz w:val="24"/>
          <w:szCs w:val="24"/>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08"/>
      </w:tblGrid>
      <w:tr w:rsidR="007C4412" w:rsidTr="00593F21">
        <w:tc>
          <w:tcPr>
            <w:tcW w:w="567" w:type="dxa"/>
          </w:tcPr>
          <w:p w:rsidR="007C4412" w:rsidRDefault="007C4412" w:rsidP="00593F21">
            <w:pPr>
              <w:pStyle w:val="ListParagraph"/>
              <w:ind w:left="0"/>
            </w:pPr>
            <w:r>
              <w:t>5.1</w:t>
            </w:r>
          </w:p>
        </w:tc>
        <w:tc>
          <w:tcPr>
            <w:tcW w:w="9208" w:type="dxa"/>
          </w:tcPr>
          <w:p w:rsidR="007C4412" w:rsidRDefault="007C4412" w:rsidP="00593F21">
            <w:r>
              <w:t>The overall responsibility for the implementation of this policy is vested in the Directors of</w:t>
            </w:r>
          </w:p>
          <w:p w:rsidR="007C4412" w:rsidRDefault="007C4412" w:rsidP="00593F21">
            <w:r>
              <w:t>John Weaver (Contractors) Ltd. They will be assisted as and when required by South Wales</w:t>
            </w:r>
          </w:p>
          <w:p w:rsidR="007C4412" w:rsidRDefault="007C4412" w:rsidP="00593F21">
            <w:r>
              <w:t>Safety Consultancy Limited who will provide support and advice on strategy and day-to-day health and safety related matters according to the contractual arrangements in place between this organisation and the consultancy.</w:t>
            </w:r>
          </w:p>
        </w:tc>
      </w:tr>
      <w:tr w:rsidR="007C4412" w:rsidTr="00593F21">
        <w:tc>
          <w:tcPr>
            <w:tcW w:w="567" w:type="dxa"/>
          </w:tcPr>
          <w:p w:rsidR="007C4412" w:rsidRDefault="007C4412" w:rsidP="00593F21">
            <w:pPr>
              <w:pStyle w:val="ListParagraph"/>
              <w:ind w:left="0"/>
            </w:pPr>
          </w:p>
        </w:tc>
        <w:tc>
          <w:tcPr>
            <w:tcW w:w="9208" w:type="dxa"/>
          </w:tcPr>
          <w:p w:rsidR="007C4412" w:rsidRDefault="007C4412" w:rsidP="00593F21"/>
        </w:tc>
      </w:tr>
      <w:tr w:rsidR="007C4412" w:rsidTr="00593F21">
        <w:tc>
          <w:tcPr>
            <w:tcW w:w="567" w:type="dxa"/>
          </w:tcPr>
          <w:p w:rsidR="007C4412" w:rsidRDefault="007C4412" w:rsidP="00593F21">
            <w:pPr>
              <w:pStyle w:val="ListParagraph"/>
              <w:ind w:left="0"/>
            </w:pPr>
            <w:r>
              <w:t>5.2</w:t>
            </w:r>
          </w:p>
        </w:tc>
        <w:tc>
          <w:tcPr>
            <w:tcW w:w="9208" w:type="dxa"/>
          </w:tcPr>
          <w:p w:rsidR="007C4412" w:rsidRDefault="007C4412" w:rsidP="00593F21">
            <w:r>
              <w:t>Responsibilities for different management grades are detailed in accompanying documentation.</w:t>
            </w:r>
          </w:p>
        </w:tc>
      </w:tr>
    </w:tbl>
    <w:p w:rsidR="007C4412" w:rsidRDefault="007C4412" w:rsidP="007C4412">
      <w:pPr>
        <w:pStyle w:val="BodyText2"/>
      </w:pPr>
    </w:p>
    <w:p w:rsidR="007C4412" w:rsidRDefault="007C4412" w:rsidP="007C4412">
      <w:pPr>
        <w:widowControl/>
        <w:autoSpaceDE w:val="0"/>
        <w:autoSpaceDN w:val="0"/>
        <w:adjustRightInd w:val="0"/>
        <w:rPr>
          <w:rFonts w:ascii="Times New Roman" w:hAnsi="Times New Roman" w:cs="Times New Roman"/>
          <w:color w:val="252525"/>
        </w:rPr>
      </w:pPr>
      <w:r w:rsidRPr="006958E8">
        <w:rPr>
          <w:noProof/>
          <w:lang w:eastAsia="en-GB"/>
        </w:rPr>
        <w:drawing>
          <wp:anchor distT="0" distB="0" distL="114300" distR="114300" simplePos="0" relativeHeight="251659264" behindDoc="0" locked="0" layoutInCell="1" allowOverlap="1" wp14:anchorId="524AB1E8" wp14:editId="1697F9E2">
            <wp:simplePos x="0" y="0"/>
            <wp:positionH relativeFrom="margin">
              <wp:posOffset>2491</wp:posOffset>
            </wp:positionH>
            <wp:positionV relativeFrom="page">
              <wp:posOffset>3235569</wp:posOffset>
            </wp:positionV>
            <wp:extent cx="1845945" cy="9429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5945"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52525"/>
        </w:rPr>
        <w:t>.</w:t>
      </w:r>
    </w:p>
    <w:p w:rsidR="007C4412" w:rsidRDefault="007C4412" w:rsidP="007C4412">
      <w:pPr>
        <w:pStyle w:val="BodyText2"/>
      </w:pPr>
    </w:p>
    <w:p w:rsidR="007C4412" w:rsidRDefault="007C4412" w:rsidP="007C4412">
      <w:pPr>
        <w:pStyle w:val="BodyText2"/>
      </w:pPr>
    </w:p>
    <w:p w:rsidR="007C4412" w:rsidRDefault="007C4412" w:rsidP="007C4412">
      <w:pPr>
        <w:pStyle w:val="BodyText2"/>
      </w:pPr>
      <w:r>
        <w:t xml:space="preserve">    </w:t>
      </w:r>
    </w:p>
    <w:p w:rsidR="007C4412" w:rsidRDefault="007C4412" w:rsidP="007C4412">
      <w:pPr>
        <w:pStyle w:val="BodyText2"/>
        <w:rPr>
          <w:b/>
        </w:rPr>
      </w:pPr>
    </w:p>
    <w:p w:rsidR="007C4412" w:rsidRDefault="007C4412" w:rsidP="007C4412">
      <w:pPr>
        <w:pStyle w:val="BodyText2"/>
        <w:rPr>
          <w:b/>
        </w:rPr>
      </w:pPr>
    </w:p>
    <w:p w:rsidR="007C4412" w:rsidRDefault="007C4412" w:rsidP="007C4412">
      <w:pPr>
        <w:pStyle w:val="BodyText2"/>
        <w:rPr>
          <w:b/>
        </w:rPr>
      </w:pPr>
    </w:p>
    <w:p w:rsidR="007C4412" w:rsidRPr="00107CA2" w:rsidRDefault="007C4412" w:rsidP="007C4412">
      <w:pPr>
        <w:pStyle w:val="BodyText2"/>
        <w:rPr>
          <w:b/>
          <w:sz w:val="24"/>
          <w:szCs w:val="24"/>
        </w:rPr>
      </w:pPr>
      <w:r w:rsidRPr="00107CA2">
        <w:rPr>
          <w:b/>
          <w:sz w:val="24"/>
          <w:szCs w:val="24"/>
        </w:rPr>
        <w:t>Terry Edwards</w:t>
      </w:r>
    </w:p>
    <w:p w:rsidR="007C4412" w:rsidRPr="00107CA2" w:rsidRDefault="007C4412" w:rsidP="007C4412">
      <w:pPr>
        <w:pStyle w:val="BodyText2"/>
        <w:rPr>
          <w:b/>
          <w:sz w:val="24"/>
          <w:szCs w:val="24"/>
        </w:rPr>
      </w:pPr>
      <w:r w:rsidRPr="00107CA2">
        <w:rPr>
          <w:b/>
          <w:sz w:val="24"/>
          <w:szCs w:val="24"/>
        </w:rPr>
        <w:t>Managing Director</w:t>
      </w:r>
    </w:p>
    <w:p w:rsidR="007C4412" w:rsidRPr="00107CA2" w:rsidRDefault="007C4412" w:rsidP="007C4412">
      <w:pPr>
        <w:pStyle w:val="BodyText2"/>
        <w:rPr>
          <w:rFonts w:cstheme="minorBidi"/>
          <w:b/>
          <w:color w:val="auto"/>
          <w:sz w:val="24"/>
          <w:szCs w:val="24"/>
        </w:rPr>
      </w:pPr>
      <w:r w:rsidRPr="00107CA2">
        <w:rPr>
          <w:rFonts w:cstheme="minorBidi"/>
          <w:b/>
          <w:color w:val="auto"/>
          <w:sz w:val="24"/>
          <w:szCs w:val="24"/>
        </w:rPr>
        <w:t>John Weaver Contractors Limited</w:t>
      </w:r>
    </w:p>
    <w:p w:rsidR="007C4412" w:rsidRPr="00107CA2" w:rsidRDefault="00107CA2" w:rsidP="007C4412">
      <w:pPr>
        <w:pStyle w:val="BodyText2"/>
        <w:rPr>
          <w:rFonts w:cstheme="minorBidi"/>
          <w:b/>
          <w:color w:val="auto"/>
          <w:sz w:val="24"/>
          <w:szCs w:val="24"/>
        </w:rPr>
      </w:pPr>
      <w:r w:rsidRPr="00107CA2">
        <w:rPr>
          <w:rFonts w:cstheme="minorBidi"/>
          <w:b/>
          <w:color w:val="auto"/>
          <w:sz w:val="24"/>
          <w:szCs w:val="24"/>
        </w:rPr>
        <w:t>June 2020</w:t>
      </w:r>
    </w:p>
    <w:p w:rsidR="00EC23DC" w:rsidRPr="007C4412" w:rsidRDefault="00EC23DC" w:rsidP="007C4412">
      <w:bookmarkStart w:id="0" w:name="_GoBack"/>
      <w:bookmarkEnd w:id="0"/>
    </w:p>
    <w:sectPr w:rsidR="00EC23DC" w:rsidRPr="007C4412" w:rsidSect="00DF16A6">
      <w:headerReference w:type="default" r:id="rId8"/>
      <w:footerReference w:type="default" r:id="rId9"/>
      <w:pgSz w:w="11907" w:h="16839" w:code="9"/>
      <w:pgMar w:top="1440" w:right="850" w:bottom="1134" w:left="993" w:header="56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7A" w:rsidRDefault="009F337A" w:rsidP="005D5B62">
      <w:r>
        <w:separator/>
      </w:r>
    </w:p>
  </w:endnote>
  <w:endnote w:type="continuationSeparator" w:id="0">
    <w:p w:rsidR="009F337A" w:rsidRDefault="009F337A" w:rsidP="005D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3860286"/>
      <w:docPartObj>
        <w:docPartGallery w:val="Page Numbers (Bottom of Page)"/>
        <w:docPartUnique/>
      </w:docPartObj>
    </w:sdtPr>
    <w:sdtEndPr/>
    <w:sdtContent>
      <w:sdt>
        <w:sdtPr>
          <w:rPr>
            <w:color w:val="000000" w:themeColor="text1"/>
          </w:rPr>
          <w:id w:val="1728636285"/>
          <w:docPartObj>
            <w:docPartGallery w:val="Page Numbers (Top of Page)"/>
            <w:docPartUnique/>
          </w:docPartObj>
        </w:sdtPr>
        <w:sdtEndPr/>
        <w:sdtContent>
          <w:p w:rsidR="00B50A04" w:rsidRPr="00785977" w:rsidRDefault="00C0206C" w:rsidP="00C0206C">
            <w:pPr>
              <w:pStyle w:val="Footer"/>
              <w:tabs>
                <w:tab w:val="clear" w:pos="4513"/>
                <w:tab w:val="clear" w:pos="9026"/>
              </w:tabs>
              <w:rPr>
                <w:color w:val="000000" w:themeColor="text1"/>
              </w:rPr>
            </w:pPr>
            <w:r>
              <w:rPr>
                <w:noProof/>
                <w:color w:val="000000" w:themeColor="text1"/>
                <w:sz w:val="6"/>
                <w:szCs w:val="6"/>
                <w:lang w:eastAsia="en-GB"/>
              </w:rPr>
              <w:drawing>
                <wp:anchor distT="0" distB="0" distL="114300" distR="114300" simplePos="0" relativeHeight="251657216" behindDoc="0" locked="0" layoutInCell="1" allowOverlap="1" wp14:anchorId="6087D66D" wp14:editId="563A0EC7">
                  <wp:simplePos x="0" y="0"/>
                  <wp:positionH relativeFrom="margin">
                    <wp:align>left</wp:align>
                  </wp:positionH>
                  <wp:positionV relativeFrom="paragraph">
                    <wp:posOffset>-165735</wp:posOffset>
                  </wp:positionV>
                  <wp:extent cx="1162050" cy="4927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54" cy="496250"/>
                          </a:xfrm>
                          <a:prstGeom prst="rect">
                            <a:avLst/>
                          </a:prstGeom>
                          <a:noFill/>
                        </pic:spPr>
                      </pic:pic>
                    </a:graphicData>
                  </a:graphic>
                  <wp14:sizeRelH relativeFrom="page">
                    <wp14:pctWidth>0</wp14:pctWidth>
                  </wp14:sizeRelH>
                  <wp14:sizeRelV relativeFrom="page">
                    <wp14:pctHeight>0</wp14:pctHeight>
                  </wp14:sizeRelV>
                </wp:anchor>
              </w:drawing>
            </w:r>
            <w:r w:rsidR="007C4412">
              <w:rPr>
                <w:noProof/>
                <w:color w:val="000000" w:themeColor="text1"/>
                <w:sz w:val="6"/>
                <w:szCs w:val="6"/>
                <w:lang w:eastAsia="en-GB"/>
              </w:rPr>
              <w:drawing>
                <wp:anchor distT="0" distB="0" distL="114300" distR="114300" simplePos="0" relativeHeight="251658240" behindDoc="1" locked="0" layoutInCell="1" allowOverlap="1" wp14:anchorId="0C55D9D0" wp14:editId="5491BB28">
                  <wp:simplePos x="0" y="0"/>
                  <wp:positionH relativeFrom="column">
                    <wp:posOffset>4032885</wp:posOffset>
                  </wp:positionH>
                  <wp:positionV relativeFrom="paragraph">
                    <wp:posOffset>-85725</wp:posOffset>
                  </wp:positionV>
                  <wp:extent cx="2543175" cy="345440"/>
                  <wp:effectExtent l="0" t="0" r="9525" b="0"/>
                  <wp:wrapNone/>
                  <wp:docPr id="2" name="Picture 2" descr="Logo JW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W Combin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175" cy="345440"/>
                          </a:xfrm>
                          <a:prstGeom prst="rect">
                            <a:avLst/>
                          </a:prstGeom>
                          <a:noFill/>
                        </pic:spPr>
                      </pic:pic>
                    </a:graphicData>
                  </a:graphic>
                  <wp14:sizeRelH relativeFrom="page">
                    <wp14:pctWidth>0</wp14:pctWidth>
                  </wp14:sizeRelH>
                  <wp14:sizeRelV relativeFrom="page">
                    <wp14:pctHeight>0</wp14:pctHeight>
                  </wp14:sizeRelV>
                </wp:anchor>
              </w:drawing>
            </w:r>
            <w:r>
              <w:rPr>
                <w:color w:val="000000" w:themeColor="text1"/>
              </w:rPr>
              <w:t xml:space="preserve">                                 </w:t>
            </w:r>
            <w:r w:rsidR="00785977">
              <w:rPr>
                <w:color w:val="000000" w:themeColor="text1"/>
              </w:rPr>
              <w:t xml:space="preserve"> </w:t>
            </w:r>
            <w:r w:rsidR="00B50A04" w:rsidRPr="00785977">
              <w:rPr>
                <w:color w:val="000000" w:themeColor="text1"/>
              </w:rPr>
              <w:t xml:space="preserve">Page </w:t>
            </w:r>
            <w:r w:rsidR="00B50A04" w:rsidRPr="00785977">
              <w:rPr>
                <w:b/>
                <w:bCs/>
                <w:color w:val="000000" w:themeColor="text1"/>
                <w:sz w:val="24"/>
                <w:szCs w:val="24"/>
              </w:rPr>
              <w:fldChar w:fldCharType="begin"/>
            </w:r>
            <w:r w:rsidR="00B50A04" w:rsidRPr="00785977">
              <w:rPr>
                <w:b/>
                <w:bCs/>
                <w:color w:val="000000" w:themeColor="text1"/>
              </w:rPr>
              <w:instrText xml:space="preserve"> PAGE </w:instrText>
            </w:r>
            <w:r w:rsidR="00B50A04" w:rsidRPr="00785977">
              <w:rPr>
                <w:b/>
                <w:bCs/>
                <w:color w:val="000000" w:themeColor="text1"/>
                <w:sz w:val="24"/>
                <w:szCs w:val="24"/>
              </w:rPr>
              <w:fldChar w:fldCharType="separate"/>
            </w:r>
            <w:r w:rsidR="00246F07">
              <w:rPr>
                <w:b/>
                <w:bCs/>
                <w:noProof/>
                <w:color w:val="000000" w:themeColor="text1"/>
              </w:rPr>
              <w:t>2</w:t>
            </w:r>
            <w:r w:rsidR="00B50A04" w:rsidRPr="00785977">
              <w:rPr>
                <w:b/>
                <w:bCs/>
                <w:color w:val="000000" w:themeColor="text1"/>
                <w:sz w:val="24"/>
                <w:szCs w:val="24"/>
              </w:rPr>
              <w:fldChar w:fldCharType="end"/>
            </w:r>
            <w:r w:rsidR="00B50A04" w:rsidRPr="00785977">
              <w:rPr>
                <w:color w:val="000000" w:themeColor="text1"/>
              </w:rPr>
              <w:t xml:space="preserve"> of </w:t>
            </w:r>
            <w:r w:rsidR="00B50A04" w:rsidRPr="00785977">
              <w:rPr>
                <w:b/>
                <w:bCs/>
                <w:color w:val="000000" w:themeColor="text1"/>
                <w:sz w:val="24"/>
                <w:szCs w:val="24"/>
              </w:rPr>
              <w:fldChar w:fldCharType="begin"/>
            </w:r>
            <w:r w:rsidR="00B50A04" w:rsidRPr="00785977">
              <w:rPr>
                <w:b/>
                <w:bCs/>
                <w:color w:val="000000" w:themeColor="text1"/>
              </w:rPr>
              <w:instrText xml:space="preserve"> NUMPAGES  </w:instrText>
            </w:r>
            <w:r w:rsidR="00B50A04" w:rsidRPr="00785977">
              <w:rPr>
                <w:b/>
                <w:bCs/>
                <w:color w:val="000000" w:themeColor="text1"/>
                <w:sz w:val="24"/>
                <w:szCs w:val="24"/>
              </w:rPr>
              <w:fldChar w:fldCharType="separate"/>
            </w:r>
            <w:r w:rsidR="00246F07">
              <w:rPr>
                <w:b/>
                <w:bCs/>
                <w:noProof/>
                <w:color w:val="000000" w:themeColor="text1"/>
              </w:rPr>
              <w:t>3</w:t>
            </w:r>
            <w:r w:rsidR="00B50A04" w:rsidRPr="00785977">
              <w:rPr>
                <w:b/>
                <w:bCs/>
                <w:color w:val="000000" w:themeColor="text1"/>
                <w:sz w:val="24"/>
                <w:szCs w:val="24"/>
              </w:rPr>
              <w:fldChar w:fldCharType="end"/>
            </w:r>
          </w:p>
        </w:sdtContent>
      </w:sdt>
    </w:sdtContent>
  </w:sdt>
  <w:p w:rsidR="006B3BCE" w:rsidRPr="00785977" w:rsidRDefault="006B3BCE" w:rsidP="00EF27F1">
    <w:pPr>
      <w:pStyle w:val="Footer"/>
      <w:rPr>
        <w:color w:val="000000" w:themeColor="text1"/>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7A" w:rsidRDefault="009F337A" w:rsidP="005D5B62">
      <w:r>
        <w:separator/>
      </w:r>
    </w:p>
  </w:footnote>
  <w:footnote w:type="continuationSeparator" w:id="0">
    <w:p w:rsidR="009F337A" w:rsidRDefault="009F337A" w:rsidP="005D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559"/>
    </w:tblGrid>
    <w:tr w:rsidR="005D5B62" w:rsidTr="005D5B62">
      <w:tc>
        <w:tcPr>
          <w:tcW w:w="5215" w:type="dxa"/>
        </w:tcPr>
        <w:p w:rsidR="005D5B62" w:rsidRDefault="005D5B62">
          <w:pPr>
            <w:pStyle w:val="Header"/>
          </w:pPr>
          <w:r>
            <w:rPr>
              <w:noProof/>
              <w:lang w:eastAsia="en-GB"/>
            </w:rPr>
            <w:drawing>
              <wp:inline distT="0" distB="0" distL="0" distR="0">
                <wp:extent cx="2617048" cy="471600"/>
                <wp:effectExtent l="0" t="0" r="0" b="5080"/>
                <wp:docPr id="17" name="Picture 17" descr="C:\Users\Claire\AppData\Local\Microsoft\Windows\INetCache\Content.Word\John Weaver Contracto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laire\AppData\Local\Microsoft\Windows\INetCache\Content.Word\John Weaver Contractor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048" cy="471600"/>
                        </a:xfrm>
                        <a:prstGeom prst="rect">
                          <a:avLst/>
                        </a:prstGeom>
                        <a:noFill/>
                        <a:ln>
                          <a:noFill/>
                        </a:ln>
                      </pic:spPr>
                    </pic:pic>
                  </a:graphicData>
                </a:graphic>
              </wp:inline>
            </w:drawing>
          </w:r>
        </w:p>
      </w:tc>
      <w:tc>
        <w:tcPr>
          <w:tcW w:w="5559" w:type="dxa"/>
        </w:tcPr>
        <w:p w:rsidR="005D5B62" w:rsidRDefault="005D5B62" w:rsidP="005D5B62">
          <w:pPr>
            <w:pStyle w:val="Header"/>
            <w:jc w:val="right"/>
          </w:pPr>
          <w:r>
            <w:rPr>
              <w:noProof/>
              <w:lang w:eastAsia="en-GB"/>
            </w:rPr>
            <w:drawing>
              <wp:inline distT="0" distB="0" distL="0" distR="0" wp14:anchorId="1DE746D4" wp14:editId="4C94FF4B">
                <wp:extent cx="2397966" cy="471600"/>
                <wp:effectExtent l="0" t="0" r="2540" b="5080"/>
                <wp:docPr id="18" name="Picture 18" descr="C:\Users\Claire\AppData\Local\Microsoft\Windows\INetCache\Content.Word\John Weaver Conservation Logo - Gree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laire\AppData\Local\Microsoft\Windows\INetCache\Content.Word\John Weaver Conservation Logo - Green cropped.jpg"/>
                        <pic:cNvPicPr>
                          <a:picLocks noChangeAspect="1" noChangeArrowheads="1"/>
                        </pic:cNvPicPr>
                      </pic:nvPicPr>
                      <pic:blipFill>
                        <a:blip r:embed="rId2">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2397966" cy="471600"/>
                        </a:xfrm>
                        <a:prstGeom prst="rect">
                          <a:avLst/>
                        </a:prstGeom>
                        <a:noFill/>
                        <a:ln>
                          <a:noFill/>
                        </a:ln>
                      </pic:spPr>
                    </pic:pic>
                  </a:graphicData>
                </a:graphic>
              </wp:inline>
            </w:drawing>
          </w:r>
        </w:p>
      </w:tc>
    </w:tr>
  </w:tbl>
  <w:p w:rsidR="005D5B62" w:rsidRDefault="005D5B62" w:rsidP="005D5B62">
    <w:pPr>
      <w:pStyle w:val="Header"/>
      <w:rPr>
        <w:sz w:val="6"/>
        <w:szCs w:val="6"/>
      </w:rPr>
    </w:pPr>
  </w:p>
  <w:p w:rsidR="00460D9F" w:rsidRDefault="00460D9F" w:rsidP="005D5B62">
    <w:pPr>
      <w:pStyle w:val="Header"/>
      <w:rPr>
        <w:sz w:val="6"/>
        <w:szCs w:val="6"/>
      </w:rPr>
    </w:pPr>
  </w:p>
  <w:p w:rsidR="00460D9F" w:rsidRPr="00B50A04" w:rsidRDefault="00460D9F" w:rsidP="005D5B62">
    <w:pPr>
      <w:pStyle w:val="Header"/>
      <w:rPr>
        <w:color w:val="FF0000"/>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74C"/>
    <w:multiLevelType w:val="multilevel"/>
    <w:tmpl w:val="B10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D071D"/>
    <w:multiLevelType w:val="hybridMultilevel"/>
    <w:tmpl w:val="0B82BF7A"/>
    <w:lvl w:ilvl="0" w:tplc="DE66900C">
      <w:start w:val="1"/>
      <w:numFmt w:val="bullet"/>
      <w:lvlText w:val="•"/>
      <w:lvlJc w:val="left"/>
      <w:pPr>
        <w:ind w:left="720" w:hanging="360"/>
      </w:pPr>
      <w:rPr>
        <w:rFonts w:ascii="Arial" w:hAnsi="Arial" w:hint="default"/>
        <w:b w:val="0"/>
        <w:color w:val="0087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341E0"/>
    <w:multiLevelType w:val="multilevel"/>
    <w:tmpl w:val="BAC6C0BC"/>
    <w:lvl w:ilvl="0">
      <w:start w:val="1"/>
      <w:numFmt w:val="bullet"/>
      <w:lvlText w:val="•"/>
      <w:lvlJc w:val="left"/>
      <w:pPr>
        <w:tabs>
          <w:tab w:val="num" w:pos="720"/>
        </w:tabs>
        <w:ind w:left="720" w:hanging="360"/>
      </w:pPr>
      <w:rPr>
        <w:rFonts w:ascii="Arial" w:hAnsi="Arial" w:hint="default"/>
        <w:b w:val="0"/>
        <w:color w:val="00877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62"/>
    <w:rsid w:val="000025B6"/>
    <w:rsid w:val="00017967"/>
    <w:rsid w:val="000367EB"/>
    <w:rsid w:val="00054392"/>
    <w:rsid w:val="000639CC"/>
    <w:rsid w:val="000A252B"/>
    <w:rsid w:val="000A3671"/>
    <w:rsid w:val="000C6C0B"/>
    <w:rsid w:val="000F1C1E"/>
    <w:rsid w:val="000F6656"/>
    <w:rsid w:val="00107CA2"/>
    <w:rsid w:val="0011003A"/>
    <w:rsid w:val="001507F7"/>
    <w:rsid w:val="00166231"/>
    <w:rsid w:val="001807DD"/>
    <w:rsid w:val="001E3096"/>
    <w:rsid w:val="00230D23"/>
    <w:rsid w:val="00246F07"/>
    <w:rsid w:val="002643F9"/>
    <w:rsid w:val="00283F12"/>
    <w:rsid w:val="002864CC"/>
    <w:rsid w:val="002931EA"/>
    <w:rsid w:val="002D09EA"/>
    <w:rsid w:val="002D1837"/>
    <w:rsid w:val="002D35CD"/>
    <w:rsid w:val="00322BA9"/>
    <w:rsid w:val="00385EC2"/>
    <w:rsid w:val="003A034C"/>
    <w:rsid w:val="003C4393"/>
    <w:rsid w:val="003F2EDF"/>
    <w:rsid w:val="00415240"/>
    <w:rsid w:val="00460D9F"/>
    <w:rsid w:val="004B0964"/>
    <w:rsid w:val="004D3BC1"/>
    <w:rsid w:val="004D62EC"/>
    <w:rsid w:val="00507B3A"/>
    <w:rsid w:val="00555DD4"/>
    <w:rsid w:val="005C4FA8"/>
    <w:rsid w:val="005D5B62"/>
    <w:rsid w:val="0063422C"/>
    <w:rsid w:val="00646884"/>
    <w:rsid w:val="006831BE"/>
    <w:rsid w:val="006A0D27"/>
    <w:rsid w:val="006A0F65"/>
    <w:rsid w:val="006B3BCE"/>
    <w:rsid w:val="006C644C"/>
    <w:rsid w:val="00704FAD"/>
    <w:rsid w:val="00760603"/>
    <w:rsid w:val="00785977"/>
    <w:rsid w:val="007C4412"/>
    <w:rsid w:val="007D52DF"/>
    <w:rsid w:val="007F10A6"/>
    <w:rsid w:val="007F3269"/>
    <w:rsid w:val="00800432"/>
    <w:rsid w:val="008436D2"/>
    <w:rsid w:val="00843CE5"/>
    <w:rsid w:val="008D1933"/>
    <w:rsid w:val="009A6773"/>
    <w:rsid w:val="009F337A"/>
    <w:rsid w:val="00AC1B8F"/>
    <w:rsid w:val="00B14F14"/>
    <w:rsid w:val="00B3796C"/>
    <w:rsid w:val="00B50A04"/>
    <w:rsid w:val="00B67A25"/>
    <w:rsid w:val="00B83313"/>
    <w:rsid w:val="00B955D8"/>
    <w:rsid w:val="00B97E58"/>
    <w:rsid w:val="00BB49DA"/>
    <w:rsid w:val="00C0206C"/>
    <w:rsid w:val="00C05AEE"/>
    <w:rsid w:val="00C32334"/>
    <w:rsid w:val="00C442E8"/>
    <w:rsid w:val="00C60E54"/>
    <w:rsid w:val="00C66E33"/>
    <w:rsid w:val="00CF6BA4"/>
    <w:rsid w:val="00DF16A6"/>
    <w:rsid w:val="00E40C8F"/>
    <w:rsid w:val="00E60019"/>
    <w:rsid w:val="00EC23DC"/>
    <w:rsid w:val="00EC74DF"/>
    <w:rsid w:val="00ED3767"/>
    <w:rsid w:val="00EF27F1"/>
    <w:rsid w:val="00F20A02"/>
    <w:rsid w:val="00F3006B"/>
    <w:rsid w:val="00F5463B"/>
    <w:rsid w:val="00F767BC"/>
    <w:rsid w:val="00FB6D2A"/>
    <w:rsid w:val="00FC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E70D85-2C16-4350-8B8D-396B2E2A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12"/>
    <w:pPr>
      <w:widowControl w:val="0"/>
      <w:spacing w:after="0" w:line="240" w:lineRule="auto"/>
    </w:pPr>
    <w:rPr>
      <w:rFonts w:ascii="Arial" w:hAnsi="Arial"/>
    </w:rPr>
  </w:style>
  <w:style w:type="paragraph" w:styleId="Heading1">
    <w:name w:val="heading 1"/>
    <w:basedOn w:val="Normal"/>
    <w:next w:val="Normal"/>
    <w:link w:val="Heading1Char"/>
    <w:uiPriority w:val="9"/>
    <w:qFormat/>
    <w:rsid w:val="005D5B62"/>
    <w:pPr>
      <w:keepNext/>
      <w:outlineLvl w:val="0"/>
    </w:pPr>
    <w:rPr>
      <w:b/>
      <w:color w:val="00877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B62"/>
    <w:pPr>
      <w:tabs>
        <w:tab w:val="center" w:pos="4513"/>
        <w:tab w:val="right" w:pos="9026"/>
      </w:tabs>
    </w:pPr>
  </w:style>
  <w:style w:type="character" w:customStyle="1" w:styleId="HeaderChar">
    <w:name w:val="Header Char"/>
    <w:basedOn w:val="DefaultParagraphFont"/>
    <w:link w:val="Header"/>
    <w:uiPriority w:val="99"/>
    <w:rsid w:val="005D5B62"/>
    <w:rPr>
      <w:rFonts w:ascii="Arial" w:hAnsi="Arial"/>
    </w:rPr>
  </w:style>
  <w:style w:type="paragraph" w:styleId="Footer">
    <w:name w:val="footer"/>
    <w:basedOn w:val="Normal"/>
    <w:link w:val="FooterChar"/>
    <w:uiPriority w:val="99"/>
    <w:unhideWhenUsed/>
    <w:rsid w:val="005D5B62"/>
    <w:pPr>
      <w:tabs>
        <w:tab w:val="center" w:pos="4513"/>
        <w:tab w:val="right" w:pos="9026"/>
      </w:tabs>
    </w:pPr>
  </w:style>
  <w:style w:type="character" w:customStyle="1" w:styleId="FooterChar">
    <w:name w:val="Footer Char"/>
    <w:basedOn w:val="DefaultParagraphFont"/>
    <w:link w:val="Footer"/>
    <w:uiPriority w:val="99"/>
    <w:rsid w:val="005D5B62"/>
    <w:rPr>
      <w:rFonts w:ascii="Arial" w:hAnsi="Arial"/>
    </w:rPr>
  </w:style>
  <w:style w:type="table" w:styleId="TableGrid">
    <w:name w:val="Table Grid"/>
    <w:basedOn w:val="TableNormal"/>
    <w:uiPriority w:val="39"/>
    <w:rsid w:val="005D5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5B62"/>
    <w:rPr>
      <w:rFonts w:ascii="Arial" w:hAnsi="Arial"/>
      <w:b/>
      <w:color w:val="00877C"/>
      <w:sz w:val="24"/>
      <w:szCs w:val="24"/>
    </w:rPr>
  </w:style>
  <w:style w:type="paragraph" w:styleId="BodyText">
    <w:name w:val="Body Text"/>
    <w:basedOn w:val="Normal"/>
    <w:link w:val="BodyTextChar"/>
    <w:uiPriority w:val="99"/>
    <w:unhideWhenUsed/>
    <w:rsid w:val="002864CC"/>
    <w:pPr>
      <w:widowControl/>
      <w:shd w:val="clear" w:color="auto" w:fill="FFFFFF"/>
      <w:jc w:val="both"/>
    </w:pPr>
    <w:rPr>
      <w:rFonts w:eastAsia="Times New Roman" w:cs="Arial"/>
      <w:color w:val="333333"/>
      <w:sz w:val="23"/>
      <w:szCs w:val="23"/>
      <w:lang w:eastAsia="en-GB"/>
    </w:rPr>
  </w:style>
  <w:style w:type="character" w:customStyle="1" w:styleId="BodyTextChar">
    <w:name w:val="Body Text Char"/>
    <w:basedOn w:val="DefaultParagraphFont"/>
    <w:link w:val="BodyText"/>
    <w:uiPriority w:val="99"/>
    <w:rsid w:val="002864CC"/>
    <w:rPr>
      <w:rFonts w:ascii="Arial" w:eastAsia="Times New Roman" w:hAnsi="Arial" w:cs="Arial"/>
      <w:color w:val="333333"/>
      <w:sz w:val="23"/>
      <w:szCs w:val="23"/>
      <w:shd w:val="clear" w:color="auto" w:fill="FFFFFF"/>
      <w:lang w:eastAsia="en-GB"/>
    </w:rPr>
  </w:style>
  <w:style w:type="paragraph" w:styleId="BodyText2">
    <w:name w:val="Body Text 2"/>
    <w:basedOn w:val="Normal"/>
    <w:link w:val="BodyText2Char"/>
    <w:uiPriority w:val="99"/>
    <w:unhideWhenUsed/>
    <w:rsid w:val="00322BA9"/>
    <w:pPr>
      <w:widowControl/>
      <w:autoSpaceDE w:val="0"/>
      <w:autoSpaceDN w:val="0"/>
      <w:adjustRightInd w:val="0"/>
    </w:pPr>
    <w:rPr>
      <w:rFonts w:cs="Arial"/>
      <w:color w:val="000000"/>
      <w:sz w:val="23"/>
      <w:szCs w:val="23"/>
    </w:rPr>
  </w:style>
  <w:style w:type="character" w:customStyle="1" w:styleId="BodyText2Char">
    <w:name w:val="Body Text 2 Char"/>
    <w:basedOn w:val="DefaultParagraphFont"/>
    <w:link w:val="BodyText2"/>
    <w:uiPriority w:val="99"/>
    <w:rsid w:val="00322BA9"/>
    <w:rPr>
      <w:rFonts w:ascii="Arial" w:hAnsi="Arial" w:cs="Arial"/>
      <w:color w:val="000000"/>
      <w:sz w:val="23"/>
      <w:szCs w:val="23"/>
    </w:rPr>
  </w:style>
  <w:style w:type="paragraph" w:customStyle="1" w:styleId="Default">
    <w:name w:val="Default"/>
    <w:rsid w:val="00385EC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0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32"/>
    <w:rPr>
      <w:rFonts w:ascii="Segoe UI" w:hAnsi="Segoe UI" w:cs="Segoe UI"/>
      <w:sz w:val="18"/>
      <w:szCs w:val="18"/>
    </w:rPr>
  </w:style>
  <w:style w:type="paragraph" w:styleId="ListParagraph">
    <w:name w:val="List Paragraph"/>
    <w:basedOn w:val="Normal"/>
    <w:uiPriority w:val="34"/>
    <w:qFormat/>
    <w:rsid w:val="007F10A6"/>
    <w:pPr>
      <w:ind w:left="720"/>
      <w:contextualSpacing/>
    </w:pPr>
  </w:style>
  <w:style w:type="table" w:customStyle="1" w:styleId="TableGrid1">
    <w:name w:val="Table Grid1"/>
    <w:basedOn w:val="TableNormal"/>
    <w:next w:val="TableGrid"/>
    <w:uiPriority w:val="39"/>
    <w:rsid w:val="007F3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7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 Weaver Contractors</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claire.john@johnweaver.co.uk</dc:creator>
  <cp:keywords/>
  <dc:description/>
  <cp:lastModifiedBy>claire.john@johnweaver.co.uk</cp:lastModifiedBy>
  <cp:revision>4</cp:revision>
  <cp:lastPrinted>2020-06-01T09:58:00Z</cp:lastPrinted>
  <dcterms:created xsi:type="dcterms:W3CDTF">2020-06-01T09:57:00Z</dcterms:created>
  <dcterms:modified xsi:type="dcterms:W3CDTF">2020-06-01T10:26:00Z</dcterms:modified>
</cp:coreProperties>
</file>